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A5" w:rsidRDefault="00BD56A5" w:rsidP="00BD56A5">
      <w:pPr>
        <w:widowControl w:val="0"/>
        <w:autoSpaceDE w:val="0"/>
        <w:autoSpaceDN w:val="0"/>
        <w:adjustRightInd w:val="0"/>
      </w:pPr>
      <w:bookmarkStart w:id="0" w:name="_GoBack"/>
      <w:bookmarkEnd w:id="0"/>
    </w:p>
    <w:p w:rsidR="00BD56A5" w:rsidRDefault="00BD56A5" w:rsidP="00BD56A5">
      <w:pPr>
        <w:widowControl w:val="0"/>
        <w:autoSpaceDE w:val="0"/>
        <w:autoSpaceDN w:val="0"/>
        <w:adjustRightInd w:val="0"/>
      </w:pPr>
      <w:r>
        <w:rPr>
          <w:b/>
          <w:bCs/>
        </w:rPr>
        <w:t>Section 135.350  Disclosure Document</w:t>
      </w:r>
      <w:r>
        <w:t xml:space="preserve"> </w:t>
      </w:r>
    </w:p>
    <w:p w:rsidR="00BD56A5" w:rsidRDefault="00BD56A5" w:rsidP="00BD56A5">
      <w:pPr>
        <w:widowControl w:val="0"/>
        <w:autoSpaceDE w:val="0"/>
        <w:autoSpaceDN w:val="0"/>
        <w:adjustRightInd w:val="0"/>
      </w:pPr>
    </w:p>
    <w:p w:rsidR="00BD56A5" w:rsidRDefault="00BD56A5" w:rsidP="00BD56A5">
      <w:pPr>
        <w:widowControl w:val="0"/>
        <w:autoSpaceDE w:val="0"/>
        <w:autoSpaceDN w:val="0"/>
        <w:adjustRightInd w:val="0"/>
      </w:pPr>
      <w:r>
        <w:t xml:space="preserve">The Secretary of State deems the following disclosure formats to be in full compliance with the disclosure requirements of Section 5-35 of the Act.  No format other than the following or the format described in Section 5-35(b) of the Act shall be utilized.  The different permissible formats may not be intermingled. </w:t>
      </w:r>
    </w:p>
    <w:p w:rsidR="00663F92" w:rsidRDefault="00663F92" w:rsidP="00BD56A5">
      <w:pPr>
        <w:widowControl w:val="0"/>
        <w:autoSpaceDE w:val="0"/>
        <w:autoSpaceDN w:val="0"/>
        <w:adjustRightInd w:val="0"/>
      </w:pPr>
    </w:p>
    <w:p w:rsidR="00BD56A5" w:rsidRDefault="00BD56A5" w:rsidP="00BD56A5">
      <w:pPr>
        <w:widowControl w:val="0"/>
        <w:autoSpaceDE w:val="0"/>
        <w:autoSpaceDN w:val="0"/>
        <w:adjustRightInd w:val="0"/>
        <w:ind w:left="1440" w:hanging="720"/>
      </w:pPr>
      <w:r>
        <w:t>a)</w:t>
      </w:r>
      <w:r>
        <w:tab/>
        <w:t xml:space="preserve">The Uniform Franchise Offering Circular (UFOC) in accordance with the Federal Trade Commission Regulation Rule, entitled "Disclosure Requirements and Prohibitions Concerning Franchising and Business Opportunity Ventures" (16 CFR 436) as in effect on January 1, 1996 (no subsequent amendments or editions); or </w:t>
      </w:r>
    </w:p>
    <w:p w:rsidR="00663F92" w:rsidRDefault="00663F92" w:rsidP="00BD56A5">
      <w:pPr>
        <w:widowControl w:val="0"/>
        <w:autoSpaceDE w:val="0"/>
        <w:autoSpaceDN w:val="0"/>
        <w:adjustRightInd w:val="0"/>
        <w:ind w:left="1440" w:hanging="720"/>
      </w:pPr>
    </w:p>
    <w:p w:rsidR="00BD56A5" w:rsidRDefault="00BD56A5" w:rsidP="00BD56A5">
      <w:pPr>
        <w:widowControl w:val="0"/>
        <w:autoSpaceDE w:val="0"/>
        <w:autoSpaceDN w:val="0"/>
        <w:adjustRightInd w:val="0"/>
        <w:ind w:left="1440" w:hanging="720"/>
      </w:pPr>
      <w:r>
        <w:t>b)</w:t>
      </w:r>
      <w:r>
        <w:tab/>
        <w:t xml:space="preserve">The disclosure requirements of the Federal Trade Commission Regulation Rule, entitled "Disclosure Requirements and Prohibitions Concerning Franchising and Business Opportunity Ventures" (16 CFR 436) as in effect on January 1, 1996 (no subsequent amendments or editions). </w:t>
      </w:r>
    </w:p>
    <w:sectPr w:rsidR="00BD56A5" w:rsidSect="00BD56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6A5"/>
    <w:rsid w:val="001678D1"/>
    <w:rsid w:val="00586EEF"/>
    <w:rsid w:val="00627F09"/>
    <w:rsid w:val="00663F92"/>
    <w:rsid w:val="00BD56A5"/>
    <w:rsid w:val="00C7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