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D" w:rsidRDefault="0079669D" w:rsidP="0079669D"/>
    <w:p w:rsidR="0079669D" w:rsidRPr="0079669D" w:rsidRDefault="0079669D" w:rsidP="0079669D">
      <w:pPr>
        <w:rPr>
          <w:b/>
        </w:rPr>
      </w:pPr>
      <w:r w:rsidRPr="0079669D">
        <w:rPr>
          <w:b/>
        </w:rPr>
        <w:t>Section 1900.910  Coverage of Subpart</w:t>
      </w:r>
    </w:p>
    <w:p w:rsidR="0079669D" w:rsidRPr="0079669D" w:rsidRDefault="0079669D" w:rsidP="0079669D"/>
    <w:p w:rsidR="000174EB" w:rsidRDefault="0079669D" w:rsidP="0079669D">
      <w:r w:rsidRPr="0079669D">
        <w:t>The rules contained in this Subpart shall govern all disciplinary actions against licensees or key persons including, but not limited to, fines or suspension and revocation of a license.</w:t>
      </w:r>
      <w:r>
        <w:t xml:space="preserve"> </w:t>
      </w:r>
      <w:r w:rsidRPr="0079669D">
        <w:t xml:space="preserve"> For purposes of this Subpart, "disciplinary actions" shall include orders of economic disassociation under Section 1900.320.</w:t>
      </w:r>
      <w:bookmarkStart w:id="0" w:name="_GoBack"/>
      <w:bookmarkEnd w:id="0"/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B1" w:rsidRDefault="00665FB1">
      <w:r>
        <w:separator/>
      </w:r>
    </w:p>
  </w:endnote>
  <w:endnote w:type="continuationSeparator" w:id="0">
    <w:p w:rsidR="00665FB1" w:rsidRDefault="0066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B1" w:rsidRDefault="00665FB1">
      <w:r>
        <w:separator/>
      </w:r>
    </w:p>
  </w:footnote>
  <w:footnote w:type="continuationSeparator" w:id="0">
    <w:p w:rsidR="00665FB1" w:rsidRDefault="0066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1B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FB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BF4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69D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FF4F-E3C6-4725-BC2E-AA66CD5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4</cp:revision>
  <dcterms:created xsi:type="dcterms:W3CDTF">2019-12-20T19:49:00Z</dcterms:created>
  <dcterms:modified xsi:type="dcterms:W3CDTF">2020-03-28T17:00:00Z</dcterms:modified>
</cp:coreProperties>
</file>