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04" w:rsidRDefault="00655D04" w:rsidP="00655D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D04" w:rsidRDefault="00655D04" w:rsidP="00655D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502.55  Denial of License</w:t>
      </w:r>
      <w:r>
        <w:t xml:space="preserve"> </w:t>
      </w:r>
    </w:p>
    <w:p w:rsidR="00655D04" w:rsidRDefault="00655D04" w:rsidP="00655D04">
      <w:pPr>
        <w:widowControl w:val="0"/>
        <w:autoSpaceDE w:val="0"/>
        <w:autoSpaceDN w:val="0"/>
        <w:adjustRightInd w:val="0"/>
      </w:pPr>
    </w:p>
    <w:p w:rsidR="00655D04" w:rsidRDefault="00655D04" w:rsidP="00655D04">
      <w:pPr>
        <w:widowControl w:val="0"/>
        <w:autoSpaceDE w:val="0"/>
        <w:autoSpaceDN w:val="0"/>
        <w:adjustRightInd w:val="0"/>
      </w:pPr>
      <w:r>
        <w:t xml:space="preserve">The denial of a license by the Board to any applicant has the effect as a ruling for the violation of a rule, and the denial of a license by the Board will continue in effect until such time as the Board shall approve a subsequent application for a license in accordance with the criteria in Section 502.60 through 502.104. </w:t>
      </w:r>
    </w:p>
    <w:p w:rsidR="00655D04" w:rsidRDefault="00655D04" w:rsidP="00655D04">
      <w:pPr>
        <w:widowControl w:val="0"/>
        <w:autoSpaceDE w:val="0"/>
        <w:autoSpaceDN w:val="0"/>
        <w:adjustRightInd w:val="0"/>
      </w:pPr>
    </w:p>
    <w:p w:rsidR="00655D04" w:rsidRDefault="00655D04" w:rsidP="00655D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655D04" w:rsidSect="00655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D04"/>
    <w:rsid w:val="000B4CC7"/>
    <w:rsid w:val="001678D1"/>
    <w:rsid w:val="00655D04"/>
    <w:rsid w:val="00B7428A"/>
    <w:rsid w:val="00C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