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0C" w:rsidRDefault="00E2050C" w:rsidP="00E2050C">
      <w:pPr>
        <w:widowControl w:val="0"/>
        <w:autoSpaceDE w:val="0"/>
        <w:autoSpaceDN w:val="0"/>
        <w:adjustRightInd w:val="0"/>
      </w:pPr>
      <w:bookmarkStart w:id="0" w:name="_GoBack"/>
      <w:bookmarkEnd w:id="0"/>
    </w:p>
    <w:p w:rsidR="00E2050C" w:rsidRDefault="00E2050C" w:rsidP="00E2050C">
      <w:pPr>
        <w:widowControl w:val="0"/>
        <w:autoSpaceDE w:val="0"/>
        <w:autoSpaceDN w:val="0"/>
        <w:adjustRightInd w:val="0"/>
      </w:pPr>
      <w:r>
        <w:rPr>
          <w:b/>
          <w:bCs/>
        </w:rPr>
        <w:t>Section 317.10  General</w:t>
      </w:r>
      <w:r>
        <w:t xml:space="preserve"> </w:t>
      </w:r>
    </w:p>
    <w:p w:rsidR="00E2050C" w:rsidRDefault="00E2050C" w:rsidP="00E2050C">
      <w:pPr>
        <w:widowControl w:val="0"/>
        <w:autoSpaceDE w:val="0"/>
        <w:autoSpaceDN w:val="0"/>
        <w:adjustRightInd w:val="0"/>
      </w:pPr>
    </w:p>
    <w:p w:rsidR="00E2050C" w:rsidRDefault="00E2050C" w:rsidP="00E2050C">
      <w:pPr>
        <w:widowControl w:val="0"/>
        <w:autoSpaceDE w:val="0"/>
        <w:autoSpaceDN w:val="0"/>
        <w:adjustRightInd w:val="0"/>
        <w:ind w:left="1440" w:hanging="720"/>
      </w:pPr>
      <w:r>
        <w:t>a)</w:t>
      </w:r>
      <w:r>
        <w:tab/>
        <w:t xml:space="preserve">The Countdown wager consists of four consecutive designated contests. The Countdown wager requires the selection of the fourth place finisher in the first designated contest; the third place finisher in the second designated contest; the second place finisher in the third designated contest; and the first place finisher in the fourth designated contest.  The Countdown wager shall be calculated in an entirely separate pool. </w:t>
      </w:r>
    </w:p>
    <w:p w:rsidR="003F3267" w:rsidRDefault="003F3267" w:rsidP="00E2050C">
      <w:pPr>
        <w:widowControl w:val="0"/>
        <w:autoSpaceDE w:val="0"/>
        <w:autoSpaceDN w:val="0"/>
        <w:adjustRightInd w:val="0"/>
        <w:ind w:left="1440" w:hanging="720"/>
      </w:pPr>
    </w:p>
    <w:p w:rsidR="00E2050C" w:rsidRDefault="00E2050C" w:rsidP="00E2050C">
      <w:pPr>
        <w:widowControl w:val="0"/>
        <w:autoSpaceDE w:val="0"/>
        <w:autoSpaceDN w:val="0"/>
        <w:adjustRightInd w:val="0"/>
        <w:ind w:left="1440" w:hanging="720"/>
      </w:pPr>
      <w:r>
        <w:t>b)</w:t>
      </w:r>
      <w:r>
        <w:tab/>
        <w:t xml:space="preserve">The Countdown wager shall be described in detail in the official program on each day the wager is offered.  The scratch provisions contained in Section 317.40 shall be prominently displayed in the official program on each day the wager is offered. </w:t>
      </w:r>
    </w:p>
    <w:p w:rsidR="003F3267" w:rsidRDefault="003F3267" w:rsidP="00E2050C">
      <w:pPr>
        <w:widowControl w:val="0"/>
        <w:autoSpaceDE w:val="0"/>
        <w:autoSpaceDN w:val="0"/>
        <w:adjustRightInd w:val="0"/>
        <w:ind w:left="1440" w:hanging="720"/>
      </w:pPr>
    </w:p>
    <w:p w:rsidR="00E2050C" w:rsidRDefault="00E2050C" w:rsidP="00E2050C">
      <w:pPr>
        <w:widowControl w:val="0"/>
        <w:autoSpaceDE w:val="0"/>
        <w:autoSpaceDN w:val="0"/>
        <w:adjustRightInd w:val="0"/>
        <w:ind w:left="1440" w:hanging="720"/>
      </w:pPr>
      <w:r>
        <w:t>c)</w:t>
      </w:r>
      <w:r>
        <w:tab/>
        <w:t xml:space="preserve">Each designated contest of the Countdown wager shall be conspicuously identified in the official program. </w:t>
      </w:r>
    </w:p>
    <w:p w:rsidR="003F3267" w:rsidRDefault="003F3267" w:rsidP="00E2050C">
      <w:pPr>
        <w:widowControl w:val="0"/>
        <w:autoSpaceDE w:val="0"/>
        <w:autoSpaceDN w:val="0"/>
        <w:adjustRightInd w:val="0"/>
        <w:ind w:left="1440" w:hanging="720"/>
      </w:pPr>
    </w:p>
    <w:p w:rsidR="00E2050C" w:rsidRDefault="00E2050C" w:rsidP="00E2050C">
      <w:pPr>
        <w:widowControl w:val="0"/>
        <w:autoSpaceDE w:val="0"/>
        <w:autoSpaceDN w:val="0"/>
        <w:adjustRightInd w:val="0"/>
        <w:ind w:left="1440" w:hanging="720"/>
      </w:pPr>
      <w:r>
        <w:t>d)</w:t>
      </w:r>
      <w:r>
        <w:tab/>
        <w:t xml:space="preserve">Countdown wagers shall not be sold in denominations of less than $1. </w:t>
      </w:r>
    </w:p>
    <w:p w:rsidR="003F3267" w:rsidRDefault="003F3267" w:rsidP="00E2050C">
      <w:pPr>
        <w:widowControl w:val="0"/>
        <w:autoSpaceDE w:val="0"/>
        <w:autoSpaceDN w:val="0"/>
        <w:adjustRightInd w:val="0"/>
        <w:ind w:left="1440" w:hanging="720"/>
      </w:pPr>
    </w:p>
    <w:p w:rsidR="00E2050C" w:rsidRDefault="00E2050C" w:rsidP="00E2050C">
      <w:pPr>
        <w:widowControl w:val="0"/>
        <w:autoSpaceDE w:val="0"/>
        <w:autoSpaceDN w:val="0"/>
        <w:adjustRightInd w:val="0"/>
        <w:ind w:left="1440" w:hanging="720"/>
      </w:pPr>
      <w:r>
        <w:t>e)</w:t>
      </w:r>
      <w:r>
        <w:tab/>
        <w:t xml:space="preserve">The organization licensee may re-name this wager, but shall notify the State Director of </w:t>
      </w:r>
      <w:proofErr w:type="spellStart"/>
      <w:r>
        <w:t>Mutuels</w:t>
      </w:r>
      <w:proofErr w:type="spellEnd"/>
      <w:r>
        <w:t xml:space="preserve"> of the name to be used. </w:t>
      </w:r>
    </w:p>
    <w:sectPr w:rsidR="00E2050C" w:rsidSect="00E205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50C"/>
    <w:rsid w:val="001678D1"/>
    <w:rsid w:val="003F3267"/>
    <w:rsid w:val="00A17F66"/>
    <w:rsid w:val="00E2050C"/>
    <w:rsid w:val="00F302FD"/>
    <w:rsid w:val="00F7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317</vt:lpstr>
    </vt:vector>
  </TitlesOfParts>
  <Company>State of Illinois</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317</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