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6C" w:rsidRDefault="001F0D6C" w:rsidP="001F0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D6C" w:rsidRDefault="001F0D6C" w:rsidP="001F0D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900.801  Purpose</w:t>
      </w:r>
      <w:r>
        <w:t xml:space="preserve"> </w:t>
      </w:r>
    </w:p>
    <w:p w:rsidR="001F0D6C" w:rsidRDefault="001F0D6C" w:rsidP="001F0D6C">
      <w:pPr>
        <w:widowControl w:val="0"/>
        <w:autoSpaceDE w:val="0"/>
        <w:autoSpaceDN w:val="0"/>
        <w:adjustRightInd w:val="0"/>
      </w:pPr>
    </w:p>
    <w:p w:rsidR="001F0D6C" w:rsidRDefault="001F0D6C" w:rsidP="001F0D6C">
      <w:pPr>
        <w:widowControl w:val="0"/>
        <w:autoSpaceDE w:val="0"/>
        <w:autoSpaceDN w:val="0"/>
        <w:adjustRightInd w:val="0"/>
      </w:pPr>
      <w:r>
        <w:t xml:space="preserve">Livestock waste management plans shall be prepared by livestock management facility owners or operators to provide for adequate land area for the proper application of livestock waste </w:t>
      </w:r>
      <w:r>
        <w:rPr>
          <w:i/>
          <w:iCs/>
        </w:rPr>
        <w:t>at rates not to exceed the agronomic nitrogen demand of the crops to be grown when averaged over a 5-year period</w:t>
      </w:r>
      <w:r>
        <w:t xml:space="preserve"> or at the phosphorus rate, depending on soil test results. [510 ILCS 77/20(f)(4)] </w:t>
      </w:r>
    </w:p>
    <w:sectPr w:rsidR="001F0D6C" w:rsidSect="001F0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D6C"/>
    <w:rsid w:val="001678D1"/>
    <w:rsid w:val="001F0D6C"/>
    <w:rsid w:val="002416EA"/>
    <w:rsid w:val="00AA0ED3"/>
    <w:rsid w:val="00C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