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01" w:rsidRDefault="00CB5601" w:rsidP="00CB56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5601" w:rsidRDefault="00CB5601" w:rsidP="00CB56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290.12  Incorporation by Reference</w:t>
      </w:r>
      <w:r>
        <w:t xml:space="preserve"> </w:t>
      </w:r>
    </w:p>
    <w:p w:rsidR="00CB5601" w:rsidRDefault="00CB5601" w:rsidP="00CB5601">
      <w:pPr>
        <w:widowControl w:val="0"/>
        <w:autoSpaceDE w:val="0"/>
        <w:autoSpaceDN w:val="0"/>
        <w:adjustRightInd w:val="0"/>
      </w:pPr>
    </w:p>
    <w:p w:rsidR="00CB5601" w:rsidRDefault="00CB5601" w:rsidP="00CB5601">
      <w:pPr>
        <w:widowControl w:val="0"/>
        <w:autoSpaceDE w:val="0"/>
        <w:autoSpaceDN w:val="0"/>
        <w:adjustRightInd w:val="0"/>
      </w:pPr>
      <w:r>
        <w:t xml:space="preserve">The rules of the American Quarter Horse Association (P.O. Box 200, Amarillo TX 79168; 2000) and the United States Trotting Association (750 Michigan Avenue, Columbus OH  43215; 1990) are incorporated by reference in this Part and do not include any later amendments or editions beyond the date specified. </w:t>
      </w:r>
    </w:p>
    <w:p w:rsidR="00CB5601" w:rsidRDefault="00CB5601" w:rsidP="00CB5601">
      <w:pPr>
        <w:widowControl w:val="0"/>
        <w:autoSpaceDE w:val="0"/>
        <w:autoSpaceDN w:val="0"/>
        <w:adjustRightInd w:val="0"/>
      </w:pPr>
    </w:p>
    <w:p w:rsidR="00CB5601" w:rsidRDefault="00CB5601" w:rsidP="00CB560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7679, effective June 8, 2001) </w:t>
      </w:r>
    </w:p>
    <w:sectPr w:rsidR="00CB5601" w:rsidSect="00CB56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5601"/>
    <w:rsid w:val="001678D1"/>
    <w:rsid w:val="005F3711"/>
    <w:rsid w:val="00972BAC"/>
    <w:rsid w:val="00CB5601"/>
    <w:rsid w:val="00E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