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6D" w:rsidRDefault="005C316D" w:rsidP="005C31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316D" w:rsidRDefault="005C316D" w:rsidP="005C31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230.220  Uncleaned Seed</w:t>
      </w:r>
      <w:r>
        <w:t xml:space="preserve"> </w:t>
      </w:r>
    </w:p>
    <w:p w:rsidR="005C316D" w:rsidRDefault="005C316D" w:rsidP="005C316D">
      <w:pPr>
        <w:widowControl w:val="0"/>
        <w:autoSpaceDE w:val="0"/>
        <w:autoSpaceDN w:val="0"/>
        <w:adjustRightInd w:val="0"/>
      </w:pPr>
    </w:p>
    <w:p w:rsidR="005C316D" w:rsidRDefault="005C316D" w:rsidP="005C316D">
      <w:pPr>
        <w:widowControl w:val="0"/>
        <w:autoSpaceDE w:val="0"/>
        <w:autoSpaceDN w:val="0"/>
        <w:adjustRightInd w:val="0"/>
      </w:pPr>
      <w:r>
        <w:t xml:space="preserve">Agricultural seeds shall be considered uncleaned if the total inert matter and weed seeds exceed 20% of the sample in cases of bluegrasses, redtop, bentgrasses, orchardgrass, creeping red fescue, and smooth brome; and 3% in all other agricultural seeds. Such seeds shall not be sold within this State. </w:t>
      </w:r>
    </w:p>
    <w:p w:rsidR="005C316D" w:rsidRDefault="005C316D" w:rsidP="005C316D">
      <w:pPr>
        <w:widowControl w:val="0"/>
        <w:autoSpaceDE w:val="0"/>
        <w:autoSpaceDN w:val="0"/>
        <w:adjustRightInd w:val="0"/>
      </w:pPr>
    </w:p>
    <w:p w:rsidR="005C316D" w:rsidRDefault="005C316D" w:rsidP="005C31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10437, effective July 1, 1988) </w:t>
      </w:r>
    </w:p>
    <w:sectPr w:rsidR="005C316D" w:rsidSect="005C31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16D"/>
    <w:rsid w:val="001678D1"/>
    <w:rsid w:val="005C316D"/>
    <w:rsid w:val="006E6B11"/>
    <w:rsid w:val="00790268"/>
    <w:rsid w:val="009163E5"/>
    <w:rsid w:val="009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