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5A" w:rsidRDefault="005E4B5A" w:rsidP="005E4B5A">
      <w:pPr>
        <w:widowControl w:val="0"/>
        <w:autoSpaceDE w:val="0"/>
        <w:autoSpaceDN w:val="0"/>
        <w:adjustRightInd w:val="0"/>
      </w:pPr>
      <w:bookmarkStart w:id="0" w:name="_GoBack"/>
      <w:bookmarkEnd w:id="0"/>
    </w:p>
    <w:p w:rsidR="005E4B5A" w:rsidRDefault="005E4B5A" w:rsidP="005E4B5A">
      <w:pPr>
        <w:widowControl w:val="0"/>
        <w:autoSpaceDE w:val="0"/>
        <w:autoSpaceDN w:val="0"/>
        <w:adjustRightInd w:val="0"/>
      </w:pPr>
      <w:r>
        <w:rPr>
          <w:b/>
          <w:bCs/>
        </w:rPr>
        <w:t>Section 125.230  Handling and Disposal of Condemned or Other Inedible Products at Official Establishment</w:t>
      </w:r>
      <w:r>
        <w:t xml:space="preserve"> </w:t>
      </w:r>
    </w:p>
    <w:p w:rsidR="005E4B5A" w:rsidRDefault="005E4B5A" w:rsidP="005E4B5A">
      <w:pPr>
        <w:widowControl w:val="0"/>
        <w:autoSpaceDE w:val="0"/>
        <w:autoSpaceDN w:val="0"/>
        <w:adjustRightInd w:val="0"/>
      </w:pPr>
    </w:p>
    <w:p w:rsidR="005E4B5A" w:rsidRDefault="005E4B5A" w:rsidP="005E4B5A">
      <w:pPr>
        <w:widowControl w:val="0"/>
        <w:autoSpaceDE w:val="0"/>
        <w:autoSpaceDN w:val="0"/>
        <w:adjustRightInd w:val="0"/>
        <w:ind w:left="1440" w:hanging="720"/>
      </w:pPr>
      <w:r>
        <w:t>a)</w:t>
      </w:r>
      <w:r>
        <w:tab/>
        <w:t>Condemned and inedible products shall be disposed of by persons licensed in accordance with the Illinois Dead Animal Disposal Act (see Section 125.120).  If the official establishment has no facilities for tanking the condemned carcasses or meat products or if the inspector cannot leave the slaughter area, the condemned meat or meat products shall be denatured as set forth in 9 CFR 314.3 (</w:t>
      </w:r>
      <w:r w:rsidR="003C0832">
        <w:t>2004</w:t>
      </w:r>
      <w:r>
        <w:t xml:space="preserve">) before they leave the official establishment.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b)</w:t>
      </w:r>
      <w:r>
        <w:tab/>
        <w:t>The Department incorporates by reference 9 CFR 314.2, 314.7, and 314.9 through 314.11 (</w:t>
      </w:r>
      <w:r w:rsidR="00FA00BA">
        <w:t>2004</w:t>
      </w:r>
      <w:r>
        <w:t xml:space="preserve">).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c)</w:t>
      </w:r>
      <w:r>
        <w:tab/>
        <w:t xml:space="preserve">The Department does not permit animals that have died other than by slaughter in accordance with the custom slaughter exemption in Section 5 of the Act to be brought on the premises of the official establishment, except for animals which have died en route.  Animals that have died en route to the official establishment shall be disposed of by licensed renderers (see Section 125.120).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d)</w:t>
      </w:r>
      <w:r>
        <w:tab/>
        <w:t xml:space="preserve">Pipes and chutes shall be installed in accordance with the provisions of Section 125.180.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e)</w:t>
      </w:r>
      <w:r>
        <w:tab/>
        <w:t xml:space="preserve">Proprietary material shall be as set forth in the "List of Proprietary Substances and Nonfood Compounds" as adopted in Section 125.20.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f)</w:t>
      </w:r>
      <w:r>
        <w:tab/>
        <w:t xml:space="preserve">"Denaturing of carcasses to the extent necessary to preclude its use for food purposes" shall mean that one of the denaturing methods in 9 CFR 325.13 as adopted in Section 125.290 must be used.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g)</w:t>
      </w:r>
      <w:r>
        <w:tab/>
        <w:t xml:space="preserve">Carcasses or parts of carcasses condemned on account of anthrax shall be disposed of in accordance with the provisions of Section 125.120.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h)</w:t>
      </w:r>
      <w:r>
        <w:tab/>
        <w:t xml:space="preserve">Specimens of condemned or other inedible products shall be released if compliance with the specific provisions of 9 CFR 314.9 is met.  An example of an objectionable condition would be in the case of a sanitary problem.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i)</w:t>
      </w:r>
      <w:r>
        <w:tab/>
        <w:t xml:space="preserve">The movement of livers and condemned products from an official establishment will be permitted in accordance with the provisions of Section 125.120. </w:t>
      </w:r>
    </w:p>
    <w:p w:rsidR="003C422B" w:rsidRDefault="003C422B" w:rsidP="005E4B5A">
      <w:pPr>
        <w:widowControl w:val="0"/>
        <w:autoSpaceDE w:val="0"/>
        <w:autoSpaceDN w:val="0"/>
        <w:adjustRightInd w:val="0"/>
        <w:ind w:left="1440" w:hanging="720"/>
      </w:pPr>
    </w:p>
    <w:p w:rsidR="005E4B5A" w:rsidRDefault="005E4B5A" w:rsidP="005E4B5A">
      <w:pPr>
        <w:widowControl w:val="0"/>
        <w:autoSpaceDE w:val="0"/>
        <w:autoSpaceDN w:val="0"/>
        <w:adjustRightInd w:val="0"/>
        <w:ind w:left="1440" w:hanging="720"/>
      </w:pPr>
      <w:r>
        <w:t>j)</w:t>
      </w:r>
      <w:r>
        <w:tab/>
        <w:t xml:space="preserve">Reference to federal form FSIS 6700-2 shall mean Illinois form MI-10. References in the incorporated language to other sections within 9 CFR 314 that have not been adopted shall be interpreted to mean in accordance with the provisions of this Section.  References to 9 CFR 325 shall be interpreted to mean in accordance with Section 125.290. </w:t>
      </w:r>
    </w:p>
    <w:p w:rsidR="005E4B5A" w:rsidRDefault="005E4B5A" w:rsidP="005E4B5A">
      <w:pPr>
        <w:widowControl w:val="0"/>
        <w:autoSpaceDE w:val="0"/>
        <w:autoSpaceDN w:val="0"/>
        <w:adjustRightInd w:val="0"/>
        <w:ind w:left="1440" w:hanging="720"/>
      </w:pPr>
    </w:p>
    <w:p w:rsidR="00FA00BA" w:rsidRPr="00D55B37" w:rsidRDefault="00FA00BA">
      <w:pPr>
        <w:pStyle w:val="JCARSourceNote"/>
        <w:ind w:left="720"/>
      </w:pPr>
      <w:r w:rsidRPr="00D55B37">
        <w:lastRenderedPageBreak/>
        <w:t xml:space="preserve">(Source:  </w:t>
      </w:r>
      <w:r>
        <w:t>Amended</w:t>
      </w:r>
      <w:r w:rsidRPr="00D55B37">
        <w:t xml:space="preserve"> at 2</w:t>
      </w:r>
      <w:r>
        <w:t>9 I</w:t>
      </w:r>
      <w:r w:rsidRPr="00D55B37">
        <w:t xml:space="preserve">ll. Reg. </w:t>
      </w:r>
      <w:r w:rsidR="008E1104">
        <w:t>5661</w:t>
      </w:r>
      <w:r w:rsidRPr="00D55B37">
        <w:t xml:space="preserve">, effective </w:t>
      </w:r>
      <w:r w:rsidR="008E1104">
        <w:t xml:space="preserve">April </w:t>
      </w:r>
      <w:r w:rsidR="007D4167">
        <w:t>13</w:t>
      </w:r>
      <w:r w:rsidR="008E1104">
        <w:t>, 2005</w:t>
      </w:r>
      <w:r w:rsidRPr="00D55B37">
        <w:t>)</w:t>
      </w:r>
    </w:p>
    <w:sectPr w:rsidR="00FA00BA" w:rsidRPr="00D55B37" w:rsidSect="005E4B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B5A"/>
    <w:rsid w:val="000B4C08"/>
    <w:rsid w:val="001678D1"/>
    <w:rsid w:val="002A5B8C"/>
    <w:rsid w:val="003C0832"/>
    <w:rsid w:val="003C422B"/>
    <w:rsid w:val="005E4B5A"/>
    <w:rsid w:val="007D4167"/>
    <w:rsid w:val="008E1104"/>
    <w:rsid w:val="00E45279"/>
    <w:rsid w:val="00EB493B"/>
    <w:rsid w:val="00F73EAE"/>
    <w:rsid w:val="00FA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0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