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F0" w:rsidRDefault="009C49F0" w:rsidP="004851C3">
      <w:pPr>
        <w:widowControl w:val="0"/>
        <w:autoSpaceDE w:val="0"/>
        <w:autoSpaceDN w:val="0"/>
        <w:adjustRightInd w:val="0"/>
        <w:rPr>
          <w:b/>
          <w:bCs/>
        </w:rPr>
      </w:pPr>
      <w:bookmarkStart w:id="0" w:name="_GoBack"/>
      <w:bookmarkEnd w:id="0"/>
    </w:p>
    <w:p w:rsidR="004851C3" w:rsidRDefault="004851C3" w:rsidP="004851C3">
      <w:pPr>
        <w:widowControl w:val="0"/>
        <w:autoSpaceDE w:val="0"/>
        <w:autoSpaceDN w:val="0"/>
        <w:adjustRightInd w:val="0"/>
      </w:pPr>
      <w:r>
        <w:rPr>
          <w:b/>
          <w:bCs/>
        </w:rPr>
        <w:t>Section 125.190  Ante-Mortem Inspection</w:t>
      </w:r>
      <w:r>
        <w:t xml:space="preserve"> </w:t>
      </w:r>
    </w:p>
    <w:p w:rsidR="004851C3" w:rsidRDefault="004851C3" w:rsidP="004851C3">
      <w:pPr>
        <w:widowControl w:val="0"/>
        <w:autoSpaceDE w:val="0"/>
        <w:autoSpaceDN w:val="0"/>
        <w:adjustRightInd w:val="0"/>
      </w:pPr>
    </w:p>
    <w:p w:rsidR="002834FB" w:rsidRDefault="004851C3" w:rsidP="004851C3">
      <w:pPr>
        <w:widowControl w:val="0"/>
        <w:autoSpaceDE w:val="0"/>
        <w:autoSpaceDN w:val="0"/>
        <w:adjustRightInd w:val="0"/>
        <w:ind w:left="1440" w:hanging="720"/>
      </w:pPr>
      <w:r>
        <w:t>a)</w:t>
      </w:r>
      <w:r>
        <w:tab/>
        <w:t>The Department incorporates by reference 9 CFR 309.1 through 309.4(a), 309.5 through 309.11, and 309.13 through 309.18 (</w:t>
      </w:r>
      <w:r w:rsidR="00312793">
        <w:t>2004</w:t>
      </w:r>
      <w:r w:rsidR="009C49F0">
        <w:t>; 69 FR 1862, effective January 12, 2004</w:t>
      </w:r>
      <w:r w:rsidR="00FB09ED">
        <w:t>; 72 FR 38700, effective October 1, 2007</w:t>
      </w:r>
      <w:r w:rsidR="002834FB">
        <w:t xml:space="preserve">; 74 FR 11463, effective </w:t>
      </w:r>
    </w:p>
    <w:p w:rsidR="004851C3" w:rsidRDefault="002834FB" w:rsidP="002834FB">
      <w:pPr>
        <w:widowControl w:val="0"/>
        <w:autoSpaceDE w:val="0"/>
        <w:autoSpaceDN w:val="0"/>
        <w:adjustRightInd w:val="0"/>
        <w:ind w:left="1440"/>
      </w:pPr>
      <w:r>
        <w:t>April 17, 2009</w:t>
      </w:r>
      <w:r w:rsidR="000C29F0">
        <w:t>; 81 FR 46570, effective September 16, 2016</w:t>
      </w:r>
      <w:r w:rsidR="00DE639F">
        <w:t>)</w:t>
      </w:r>
      <w:r w:rsidR="004851C3">
        <w:t xml:space="preserve">.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b)</w:t>
      </w:r>
      <w:r>
        <w:tab/>
        <w:t>In cases of emergency slaughter (see 9 CFR 311.27) and where the inspector cannot be contacted or is unable to return to the establishment, the owner of the animal shall obtain the services of a licensed veterinarian who shall perform an ante-mortem examination on the animal.</w:t>
      </w:r>
      <w:r w:rsidR="00ED0014">
        <w:t xml:space="preserve"> </w:t>
      </w:r>
      <w:r>
        <w:t xml:space="preserve"> If upon examination the animal shows no symptoms of disease or abnormal conditions that would prohibit its intended use as human food in accordance with the provisions of this Section, the veterinarian shall prepare a written statement to the effect that the animal is in compliance with ante-mortem requirements of this Section and can be slaughtered at the official establishment.  The veterinarian's statement shall be kept on file by the official establishment in accordance with Section 125.100.  The costs of the veterinary services shall be borne by the owner of the animal.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c)</w:t>
      </w:r>
      <w:r>
        <w:tab/>
        <w:t xml:space="preserve">The Department shall approve treatment programs for diseased animals providing the licensee provides the necessary holding pens where such animals can be kept apart from the other livestock awaiting slaughter and the owner of the animal(s) agrees to the treatment and assumes the cost of such treatment.  Following treatment, the animal shall be released from slaughter at the request of the owner or of the official establishment and permitted to be transported from the establishment provided the animal was not infected with a reportable disease (see Section 125.130).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d)</w:t>
      </w:r>
      <w:r>
        <w:tab/>
        <w:t xml:space="preserve">An animal found in a comatose or semicomatose condition shall be set apart from the other livestock and held for further observation at the request of the owner or the official establishment.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e)</w:t>
      </w:r>
      <w:r>
        <w:tab/>
        <w:t xml:space="preserve">"Other responsible official supervision" shall mean under the supervision of a licensed veterinarian or a program employee of the U.S. Department of Agriculture.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f)</w:t>
      </w:r>
      <w:r>
        <w:tab/>
        <w:t xml:space="preserve">At the option of the owner of the animal, any animal identified as a suspect may be reinspected by a veterinarian as set forth in Section 9 of the Act or the animal shall be slaughtered and identified in accordance with the provisions of this Section.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g)</w:t>
      </w:r>
      <w:r>
        <w:tab/>
        <w:t xml:space="preserve">An animal will be withheld from slaughter to permit biological residues to be reduced in accordance with 9 CFR 309.16 when the owner informs the inspector that the animal was taking chemicals or biologics or there is evidence to suggest that the animal was taking chemicals or biologics (e.g., injection marks, chemical </w:t>
      </w:r>
      <w:r>
        <w:lastRenderedPageBreak/>
        <w:t xml:space="preserve">odor).  The time period for holding such animal shall depend on the withdrawal period of the chemical or biologic that was administered the animal.  The inspector shall permit the slaughter of such animal (see 9 CFR 309.16a) when requested by the official establishment or by the owner of the animal.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h)</w:t>
      </w:r>
      <w:r>
        <w:tab/>
        <w:t xml:space="preserve">The inspector shall approve the use by any establishment of any skin tattoo that contains a number identifying the animal or lot.  The identifying number for the skin tattoo shall be assigned by the inspector. </w:t>
      </w:r>
    </w:p>
    <w:p w:rsidR="00DD1D3D" w:rsidRDefault="00DD1D3D" w:rsidP="004851C3">
      <w:pPr>
        <w:widowControl w:val="0"/>
        <w:autoSpaceDE w:val="0"/>
        <w:autoSpaceDN w:val="0"/>
        <w:adjustRightInd w:val="0"/>
        <w:ind w:left="1440" w:hanging="720"/>
      </w:pPr>
    </w:p>
    <w:p w:rsidR="004851C3" w:rsidRDefault="004851C3" w:rsidP="004851C3">
      <w:pPr>
        <w:widowControl w:val="0"/>
        <w:autoSpaceDE w:val="0"/>
        <w:autoSpaceDN w:val="0"/>
        <w:adjustRightInd w:val="0"/>
        <w:ind w:left="1440" w:hanging="720"/>
      </w:pPr>
      <w:r>
        <w:t>i)</w:t>
      </w:r>
      <w:r>
        <w:tab/>
        <w:t xml:space="preserve">Reference to federal form FSIS 6150-1 shall mean Illinois form V-3. References in the incorporated language to 9 CFR 314 shall be interpreted to mean in accordance with Section 125.230. </w:t>
      </w:r>
    </w:p>
    <w:p w:rsidR="004851C3" w:rsidRDefault="004851C3" w:rsidP="004851C3">
      <w:pPr>
        <w:widowControl w:val="0"/>
        <w:autoSpaceDE w:val="0"/>
        <w:autoSpaceDN w:val="0"/>
        <w:adjustRightInd w:val="0"/>
        <w:ind w:left="1440" w:hanging="720"/>
      </w:pPr>
    </w:p>
    <w:p w:rsidR="002834FB" w:rsidRPr="00D55B37" w:rsidRDefault="000C29F0" w:rsidP="0023336D">
      <w:pPr>
        <w:pStyle w:val="JCARSourceNote"/>
        <w:ind w:left="720" w:firstLine="0"/>
      </w:pPr>
      <w:r>
        <w:t xml:space="preserve">(Source:  Amended by peremptory rulemaking at 40 Ill. Reg. </w:t>
      </w:r>
      <w:r w:rsidR="008566F0">
        <w:t>13486</w:t>
      </w:r>
      <w:r>
        <w:t xml:space="preserve">, effective </w:t>
      </w:r>
      <w:r w:rsidR="00951D81">
        <w:t>September 16, 2016)</w:t>
      </w:r>
    </w:p>
    <w:sectPr w:rsidR="002834FB" w:rsidRPr="00D55B37" w:rsidSect="004851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51C3"/>
    <w:rsid w:val="00013F4C"/>
    <w:rsid w:val="000B19B1"/>
    <w:rsid w:val="000C29F0"/>
    <w:rsid w:val="00122470"/>
    <w:rsid w:val="001678D1"/>
    <w:rsid w:val="002227DB"/>
    <w:rsid w:val="0023336D"/>
    <w:rsid w:val="002834FB"/>
    <w:rsid w:val="002C01C8"/>
    <w:rsid w:val="00312793"/>
    <w:rsid w:val="0036769D"/>
    <w:rsid w:val="003C3F91"/>
    <w:rsid w:val="00444186"/>
    <w:rsid w:val="004851C3"/>
    <w:rsid w:val="005343EC"/>
    <w:rsid w:val="00655118"/>
    <w:rsid w:val="00704884"/>
    <w:rsid w:val="008566F0"/>
    <w:rsid w:val="00926762"/>
    <w:rsid w:val="00951D81"/>
    <w:rsid w:val="009C49F0"/>
    <w:rsid w:val="009F568F"/>
    <w:rsid w:val="00A16D0F"/>
    <w:rsid w:val="00B647EB"/>
    <w:rsid w:val="00D43853"/>
    <w:rsid w:val="00DD1D3D"/>
    <w:rsid w:val="00DE639F"/>
    <w:rsid w:val="00E03246"/>
    <w:rsid w:val="00ED0014"/>
    <w:rsid w:val="00EF123B"/>
    <w:rsid w:val="00F66827"/>
    <w:rsid w:val="00F84C58"/>
    <w:rsid w:val="00FB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4F3D118-7B84-4C8D-BA81-9E85BF68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49F0"/>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2</cp:revision>
  <dcterms:created xsi:type="dcterms:W3CDTF">2016-09-20T16:23:00Z</dcterms:created>
  <dcterms:modified xsi:type="dcterms:W3CDTF">2016-09-20T16:23:00Z</dcterms:modified>
</cp:coreProperties>
</file>