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36" w:rsidRDefault="00532936" w:rsidP="005E0F88">
      <w:pPr>
        <w:rPr>
          <w:b/>
        </w:rPr>
      </w:pPr>
    </w:p>
    <w:p w:rsidR="005E0F88" w:rsidRPr="005E0F88" w:rsidRDefault="005E0F88" w:rsidP="005E0F88">
      <w:pPr>
        <w:rPr>
          <w:b/>
        </w:rPr>
      </w:pPr>
      <w:r w:rsidRPr="005E0F88">
        <w:rPr>
          <w:b/>
        </w:rPr>
        <w:t>Section 1755.430  Circuit Court Review</w:t>
      </w:r>
    </w:p>
    <w:p w:rsidR="005E0F88" w:rsidRPr="005E0F88" w:rsidRDefault="005E0F88" w:rsidP="005E0F88"/>
    <w:p w:rsidR="005E0F88" w:rsidRPr="005E0F88" w:rsidRDefault="005E0F88" w:rsidP="005E0F88">
      <w:r w:rsidRPr="005E0F88">
        <w:t xml:space="preserve">A requester also has the right to file suit for injunctive or declaratory relief in the Circuit Court for </w:t>
      </w:r>
      <w:r w:rsidR="00F336E4">
        <w:t>Cook</w:t>
      </w:r>
      <w:bookmarkStart w:id="0" w:name="_GoBack"/>
      <w:bookmarkEnd w:id="0"/>
      <w:r w:rsidRPr="005E0F88">
        <w:t xml:space="preserve"> County or for the county in which the requester resides, in accordance with the procedures set forth in Section 11 of FOIA.  </w:t>
      </w:r>
    </w:p>
    <w:sectPr w:rsidR="005E0F88" w:rsidRPr="005E0F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F88" w:rsidRDefault="005E0F88">
      <w:r>
        <w:separator/>
      </w:r>
    </w:p>
  </w:endnote>
  <w:endnote w:type="continuationSeparator" w:id="0">
    <w:p w:rsidR="005E0F88" w:rsidRDefault="005E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F88" w:rsidRDefault="005E0F88">
      <w:r>
        <w:separator/>
      </w:r>
    </w:p>
  </w:footnote>
  <w:footnote w:type="continuationSeparator" w:id="0">
    <w:p w:rsidR="005E0F88" w:rsidRDefault="005E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936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0F88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6E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347B5-6D78-42A8-9F6D-FFFDC77A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231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3</cp:revision>
  <dcterms:created xsi:type="dcterms:W3CDTF">2016-07-25T20:20:00Z</dcterms:created>
  <dcterms:modified xsi:type="dcterms:W3CDTF">2017-01-30T21:34:00Z</dcterms:modified>
</cp:coreProperties>
</file>