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B0" w:rsidRDefault="005D00B0" w:rsidP="005D00B0">
      <w:pPr>
        <w:rPr>
          <w:b/>
          <w:bCs/>
        </w:rPr>
      </w:pPr>
    </w:p>
    <w:p w:rsidR="005D00B0" w:rsidRPr="002B0C1D" w:rsidRDefault="005D00B0" w:rsidP="005D00B0">
      <w:r w:rsidRPr="002B0C1D">
        <w:rPr>
          <w:b/>
          <w:bCs/>
        </w:rPr>
        <w:t>Section</w:t>
      </w:r>
      <w:r w:rsidRPr="00993FEF">
        <w:rPr>
          <w:bCs/>
        </w:rPr>
        <w:t xml:space="preserve"> </w:t>
      </w:r>
      <w:r w:rsidRPr="002B0C1D">
        <w:rPr>
          <w:b/>
          <w:bCs/>
        </w:rPr>
        <w:t>1620.1400</w:t>
      </w:r>
      <w:r w:rsidRPr="00993FEF">
        <w:rPr>
          <w:bCs/>
        </w:rPr>
        <w:t xml:space="preserve">  </w:t>
      </w:r>
      <w:r w:rsidRPr="002B0C1D">
        <w:rPr>
          <w:b/>
          <w:bCs/>
        </w:rPr>
        <w:t>Order of Evidentiary Hearing</w:t>
      </w:r>
      <w:r w:rsidRPr="002B0C1D">
        <w:t xml:space="preserve"> </w:t>
      </w:r>
    </w:p>
    <w:p w:rsidR="005D00B0" w:rsidRPr="002B0C1D" w:rsidRDefault="005D00B0" w:rsidP="005D00B0"/>
    <w:p w:rsidR="005D00B0" w:rsidRPr="002B0C1D" w:rsidRDefault="005D00B0" w:rsidP="005D00B0">
      <w:pPr>
        <w:pStyle w:val="ColorfulList-Accent11"/>
        <w:ind w:left="1440" w:hanging="720"/>
      </w:pPr>
      <w:r w:rsidRPr="002B0C1D">
        <w:t>a)</w:t>
      </w:r>
      <w:r w:rsidRPr="002B0C1D">
        <w:tab/>
        <w:t>The Administrative Law Judge shall open the evidentiary hearing by explaining the procedure to be followed in the hearing.</w:t>
      </w:r>
      <w:r>
        <w:t xml:space="preserve"> </w:t>
      </w:r>
      <w:r w:rsidRPr="002B0C1D">
        <w:t xml:space="preserve"> Upon motion of either party or at the discretion of the Administrative Law Judge, any or all witnesses may be sequestered. </w:t>
      </w:r>
    </w:p>
    <w:p w:rsidR="005D00B0" w:rsidRPr="002B0C1D" w:rsidRDefault="005D00B0" w:rsidP="005D00B0">
      <w:pPr>
        <w:pStyle w:val="ColorfulList-Accent11"/>
        <w:ind w:left="1080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b)</w:t>
      </w:r>
      <w:r w:rsidRPr="002B0C1D">
        <w:tab/>
        <w:t xml:space="preserve">Preliminary matters such as objection to charges, disputes involving discovery, stipulation of facts and documents, and scheduling of witnesses may be resolved. </w:t>
      </w:r>
    </w:p>
    <w:p w:rsidR="005D00B0" w:rsidRPr="002B0C1D" w:rsidRDefault="005D00B0" w:rsidP="005D00B0">
      <w:pPr>
        <w:ind w:left="1440" w:hanging="720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c)</w:t>
      </w:r>
      <w:r w:rsidRPr="002B0C1D">
        <w:tab/>
        <w:t xml:space="preserve">Each party shall be given the opportunity to make a brief opening statement identifying the issues and indicating what is to be proven. </w:t>
      </w:r>
    </w:p>
    <w:p w:rsidR="005D00B0" w:rsidRPr="002B0C1D" w:rsidRDefault="005D00B0" w:rsidP="005D00B0">
      <w:pPr>
        <w:pStyle w:val="ColorfulList-Accent11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d)</w:t>
      </w:r>
      <w:r w:rsidRPr="002B0C1D">
        <w:tab/>
        <w:t>Parties and non-parties identified in Section 1620.1320 as entitled to notice of the hearing shall be permitted to present their respective arguments on the complaint.</w:t>
      </w:r>
    </w:p>
    <w:p w:rsidR="005D00B0" w:rsidRPr="002B0C1D" w:rsidRDefault="005D00B0" w:rsidP="005D00B0">
      <w:pPr>
        <w:ind w:left="1440" w:hanging="720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e)</w:t>
      </w:r>
      <w:r w:rsidRPr="002B0C1D">
        <w:tab/>
        <w:t>All witnesses shall testify under oath or affirmation.</w:t>
      </w:r>
    </w:p>
    <w:p w:rsidR="005D00B0" w:rsidRPr="002B0C1D" w:rsidRDefault="005D00B0" w:rsidP="005D00B0">
      <w:pPr>
        <w:pStyle w:val="ColorfulList-Accent11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f)</w:t>
      </w:r>
      <w:r w:rsidRPr="002B0C1D">
        <w:tab/>
        <w:t>Each party may conduct such cross-examination as required for a full and true disclosure of the facts.</w:t>
      </w:r>
      <w:r>
        <w:t xml:space="preserve"> </w:t>
      </w:r>
      <w:r w:rsidRPr="002B0C1D">
        <w:t xml:space="preserve"> The Administrative Law Judge may also examine witnesses. </w:t>
      </w:r>
    </w:p>
    <w:p w:rsidR="005D00B0" w:rsidRPr="002B0C1D" w:rsidRDefault="005D00B0" w:rsidP="005D00B0">
      <w:pPr>
        <w:pStyle w:val="ColorfulList-Accent11"/>
      </w:pPr>
    </w:p>
    <w:p w:rsidR="005D00B0" w:rsidRPr="002B0C1D" w:rsidRDefault="005D00B0" w:rsidP="005D00B0">
      <w:pPr>
        <w:pStyle w:val="ColorfulList-Accent11"/>
        <w:ind w:left="1440" w:hanging="720"/>
      </w:pPr>
      <w:r w:rsidRPr="002B0C1D">
        <w:t>g)</w:t>
      </w:r>
      <w:r w:rsidRPr="002B0C1D">
        <w:tab/>
        <w:t>Before closing the hearing, the Administrative Law Judge may allow both parties the opportunity to make brief oral and/or written closing statements.</w:t>
      </w:r>
    </w:p>
    <w:p w:rsidR="001C71C2" w:rsidRDefault="001C71C2" w:rsidP="002C2703"/>
    <w:p w:rsidR="005D00B0" w:rsidRPr="00D55B37" w:rsidRDefault="005D00B0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157CF">
        <w:t>13826</w:t>
      </w:r>
      <w:r w:rsidRPr="00D55B37">
        <w:t xml:space="preserve">, effective </w:t>
      </w:r>
      <w:bookmarkStart w:id="0" w:name="_GoBack"/>
      <w:r w:rsidR="00C157CF">
        <w:t>August 21, 2012</w:t>
      </w:r>
      <w:bookmarkEnd w:id="0"/>
      <w:r w:rsidRPr="00D55B37">
        <w:t>)</w:t>
      </w:r>
    </w:p>
    <w:sectPr w:rsidR="005D00B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A0" w:rsidRDefault="00280DA0">
      <w:r>
        <w:separator/>
      </w:r>
    </w:p>
  </w:endnote>
  <w:endnote w:type="continuationSeparator" w:id="0">
    <w:p w:rsidR="00280DA0" w:rsidRDefault="002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A0" w:rsidRDefault="00280DA0">
      <w:r>
        <w:separator/>
      </w:r>
    </w:p>
  </w:footnote>
  <w:footnote w:type="continuationSeparator" w:id="0">
    <w:p w:rsidR="00280DA0" w:rsidRDefault="0028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8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DA0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E49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0B0"/>
    <w:rsid w:val="005D1E0E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FEF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82F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7CF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03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0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lorfulList-Accent11">
    <w:name w:val="Colorful List - Accent 11"/>
    <w:basedOn w:val="Normal"/>
    <w:qFormat/>
    <w:rsid w:val="005D0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0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lorfulList-Accent11">
    <w:name w:val="Colorful List - Accent 11"/>
    <w:basedOn w:val="Normal"/>
    <w:qFormat/>
    <w:rsid w:val="005D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